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DE45" w14:textId="77777777" w:rsidR="00D2265F" w:rsidRDefault="00000000">
      <w:pPr>
        <w:pStyle w:val="aa"/>
      </w:pPr>
      <w:r>
        <w:rPr>
          <w:rFonts w:ascii="Calibri" w:hAnsi="Calibri"/>
        </w:rPr>
        <w:t>International Partnerships and SDG 17 Profile</w:t>
      </w:r>
    </w:p>
    <w:p w14:paraId="66D7C66B" w14:textId="77777777" w:rsidR="00D2265F" w:rsidRDefault="00000000">
      <w:pPr>
        <w:spacing w:after="200"/>
      </w:pPr>
      <w:r>
        <w:rPr>
          <w:i/>
          <w:color w:val="5B6573"/>
          <w:sz w:val="24"/>
        </w:rPr>
        <w:t>Global engagement, SDG partnerships and sustainability education</w:t>
      </w:r>
    </w:p>
    <w:p w14:paraId="7EE3F067" w14:textId="77777777" w:rsidR="00D2265F" w:rsidRDefault="00000000">
      <w:pPr>
        <w:spacing w:after="40" w:line="240" w:lineRule="auto"/>
      </w:pPr>
      <w:r>
        <w:rPr>
          <w:b/>
          <w:color w:val="0B2545"/>
          <w:sz w:val="21"/>
        </w:rPr>
        <w:t xml:space="preserve">Institution: </w:t>
      </w:r>
      <w:r>
        <w:rPr>
          <w:color w:val="5B6573"/>
          <w:sz w:val="21"/>
        </w:rPr>
        <w:t>Tashkent State University of Economics (TSUE)</w:t>
      </w:r>
    </w:p>
    <w:p w14:paraId="098A9116" w14:textId="77777777" w:rsidR="00D2265F" w:rsidRDefault="00000000">
      <w:pPr>
        <w:spacing w:after="40" w:line="240" w:lineRule="auto"/>
      </w:pPr>
      <w:r>
        <w:rPr>
          <w:b/>
          <w:color w:val="0B2545"/>
          <w:sz w:val="21"/>
        </w:rPr>
        <w:t xml:space="preserve">Prepared: </w:t>
      </w:r>
      <w:r>
        <w:rPr>
          <w:color w:val="5B6573"/>
          <w:sz w:val="21"/>
        </w:rPr>
        <w:t>10 July 2026</w:t>
      </w:r>
    </w:p>
    <w:p w14:paraId="23ECC19A" w14:textId="77777777" w:rsidR="00D2265F" w:rsidRDefault="00D2265F">
      <w:pPr>
        <w:pBdr>
          <w:bottom w:val="single" w:sz="10" w:space="1" w:color="2E74B5"/>
        </w:pBdr>
        <w:spacing w:before="120" w:after="160"/>
      </w:pPr>
    </w:p>
    <w:p w14:paraId="4CCBE4CC" w14:textId="77777777" w:rsidR="00D2265F" w:rsidRDefault="00000000">
      <w:pPr>
        <w:pStyle w:val="1"/>
      </w:pPr>
      <w:r>
        <w:t>International profile</w:t>
      </w:r>
    </w:p>
    <w:p w14:paraId="45153442" w14:textId="77777777" w:rsidR="00D2265F" w:rsidRDefault="00000000">
      <w:r>
        <w:t>TSUE’s international profile is built through academic relationships, student mobility, joint degrees and research cooperation. Its public THE profile records 160 partner universities, 1,391 students from 17 countries and seven international joint-degree programmes. Named partners include the London School of Economics and Political Science, Missouri State University, Indonesia University of Education and IMC University of Applied Sciences Krems. Erasmus+ and Fulbright provide additional routes into international study, research and professional exchange.</w:t>
      </w:r>
    </w:p>
    <w:p w14:paraId="5982B31F" w14:textId="77777777" w:rsidR="00D2265F" w:rsidRDefault="00000000">
      <w:pPr>
        <w:pStyle w:val="1"/>
      </w:pPr>
      <w:r>
        <w:t>SDG 17 position in THE Impact Rankings 2026</w:t>
      </w:r>
    </w:p>
    <w:p w14:paraId="061EA2BA" w14:textId="77777777" w:rsidR="00D2265F" w:rsidRDefault="00000000">
      <w:r>
        <w:t>TSUE is listed in the 101–200 band for Partnership for the Goals 2026. The result reflects a partnership model in which academic work is connected to public dialogue, environmental training, student innovation, international comparison and open sustainability education. The university’s strength in this area is the range of partners it brings into the same development conversation.</w:t>
      </w:r>
    </w:p>
    <w:p w14:paraId="605573B7" w14:textId="77777777" w:rsidR="00D2265F" w:rsidRDefault="00000000">
      <w:pPr>
        <w:pStyle w:val="1"/>
      </w:pPr>
      <w:r>
        <w:t>Cross-sectoral dialogue and public-interest partnerships</w:t>
      </w:r>
    </w:p>
    <w:p w14:paraId="49450B85" w14:textId="77777777" w:rsidR="00D2265F" w:rsidRDefault="00000000">
      <w:r>
        <w:t>At the national level, TSUE works with the Ecological Party of Uzbekistan on questions that link economic policy with environmental responsibility. The dialogue covers green economic transition, renewable energy, energy efficiency, sustainable agriculture, land-use planning, public transport and waste management. The university contributes economic modelling, comparative policy analysis and indicator mapping, allowing public discussion to be grounded in evidence rather than slogans.</w:t>
      </w:r>
    </w:p>
    <w:p w14:paraId="78D7D790" w14:textId="77777777" w:rsidR="00D2265F" w:rsidRDefault="00000000">
      <w:r>
        <w:t>The partnership with the Center for Retraining and Advanced Training in Environmental Protection extends this work into professional practice. Joint training, workshops and methodological materials address water quality, waste management, biodiversity, climate adaptation and environmental regulation. TSUE academics contribute as instructors, researchers and discussants, bringing research findings and international experience into the development of environmental capacity.</w:t>
      </w:r>
    </w:p>
    <w:p w14:paraId="0B759EE2" w14:textId="77777777" w:rsidR="00D2265F" w:rsidRDefault="00000000">
      <w:r>
        <w:t xml:space="preserve">The Digital Finance Incubation and Acceleration Centre provides a different but complementary route into SDG work. It brings students, young innovators, financial organisations, technology partners and </w:t>
      </w:r>
      <w:r>
        <w:lastRenderedPageBreak/>
        <w:t>external stakeholders together around digital inclusion, sustainable business and community-facing services. In this setting, partnership is tested through ideas, prototypes, mentoring and implementation.</w:t>
      </w:r>
    </w:p>
    <w:p w14:paraId="3A5D0969" w14:textId="77777777" w:rsidR="00D2265F" w:rsidRDefault="00000000">
      <w:r>
        <w:t>International cooperation with the International Centre for Education in Islamic Finance (INCEIF), Malaysia, connects TSUE to comparative work on ethical finance, financial inclusion, responsible investment and sustainable development. The relationship gives the university a platform for examining how financial systems can serve both economic growth and wider social objectives.</w:t>
      </w:r>
    </w:p>
    <w:p w14:paraId="1E3EDBA9" w14:textId="77777777" w:rsidR="00D2265F" w:rsidRDefault="00000000">
      <w:pPr>
        <w:pStyle w:val="1"/>
      </w:pPr>
      <w:r>
        <w:t>Institutional coordination and data quality</w:t>
      </w:r>
    </w:p>
    <w:p w14:paraId="6C7DA60D" w14:textId="77777777" w:rsidR="00D2265F" w:rsidRDefault="00000000">
      <w:r>
        <w:t>Partnership and sustainability work is supported by the Department for International and National Rankings, the Sustainability Office and the Rector’s Committee on Sustainable Development. TSUE’s institutional monitoring follows the logic of the UN SDG Indicator Framework: energy use, carbon emissions, water, wastewater, waste, recycling and efficiency measures are organised through comparable definitions, intensity measures and treatment ratios. Cooperation with environmental specialists helps translate international measurement approaches into local practice, including carbon accounting, waste-diversion metrics and climate-risk assessment.</w:t>
      </w:r>
    </w:p>
    <w:p w14:paraId="2B5841C0" w14:textId="77777777" w:rsidR="00D2265F" w:rsidRDefault="00000000">
      <w:pPr>
        <w:pStyle w:val="1"/>
      </w:pPr>
      <w:r>
        <w:t>University-wide SDG education</w:t>
      </w:r>
    </w:p>
    <w:p w14:paraId="73DF347E" w14:textId="77777777" w:rsidR="00D2265F" w:rsidRDefault="00000000">
      <w:r>
        <w:t>The SDG Learning Platform on TSUE’s Moodle-based LMS gives sustainability a place within the academic experience. Its documented modules—Introduction to Sustainability and the SDGs, Applying the SDGs in Campus Life, and Strategic Planning, Monitoring &amp; Evaluation of SDG Initiatives—move from concepts to application. Students work with the language of indicators, baselines, data collection and impact evaluation, while relating global frameworks to campus operations and Uzbekistan’s development priorities.</w:t>
      </w:r>
    </w:p>
    <w:p w14:paraId="54EDCC7E" w14:textId="77777777" w:rsidR="00D2265F" w:rsidRDefault="00000000">
      <w:pPr>
        <w:pStyle w:val="1"/>
      </w:pPr>
      <w:r>
        <w:t>Outreach and sustainability literacy</w:t>
      </w:r>
    </w:p>
    <w:p w14:paraId="41CAEE64" w14:textId="77777777" w:rsidR="00D2265F" w:rsidRDefault="00000000">
      <w:r>
        <w:t>The university extends this work beyond enrolled students through open learning resources, public lectures, seminars, sustainability videos and community-facing activities. LMS-based quizzes, assessment records and monitoring processes provide a way to measure sustainability literacy and identify learning needs. This combination of outreach and assessment matters: it treats sustainability education as an institutional capability that can be improved, not as a one-time awareness campaign.</w:t>
      </w:r>
    </w:p>
    <w:p w14:paraId="21284C65" w14:textId="77777777" w:rsidR="00D2265F" w:rsidRDefault="00000000">
      <w:pPr>
        <w:pStyle w:val="1"/>
      </w:pPr>
      <w:r>
        <w:t>Reference links</w:t>
      </w:r>
    </w:p>
    <w:p w14:paraId="22077EE8" w14:textId="77777777" w:rsidR="00D2265F" w:rsidRDefault="00000000">
      <w:pPr>
        <w:spacing w:after="80"/>
      </w:pPr>
      <w:r>
        <w:rPr>
          <w:b/>
          <w:color w:val="0B2545"/>
        </w:rPr>
        <w:t xml:space="preserve">THE university profile: </w:t>
      </w:r>
      <w:hyperlink r:id="rId8">
        <w:r>
          <w:rPr>
            <w:color w:val="2E74B5"/>
            <w:u w:val="single"/>
          </w:rPr>
          <w:t>https://www.timeshighereducation.com/world-university-rankings/tashkent-state-university-economics</w:t>
        </w:r>
      </w:hyperlink>
    </w:p>
    <w:p w14:paraId="149C574F" w14:textId="77777777" w:rsidR="00D2265F" w:rsidRDefault="00000000">
      <w:pPr>
        <w:spacing w:after="80"/>
      </w:pPr>
      <w:r>
        <w:rPr>
          <w:b/>
          <w:color w:val="0B2545"/>
        </w:rPr>
        <w:t xml:space="preserve">TSUE official website: </w:t>
      </w:r>
      <w:hyperlink r:id="rId9">
        <w:r>
          <w:rPr>
            <w:color w:val="2E74B5"/>
            <w:u w:val="single"/>
          </w:rPr>
          <w:t>https://tsue.uz/en</w:t>
        </w:r>
      </w:hyperlink>
    </w:p>
    <w:p w14:paraId="4CCE410C" w14:textId="77777777" w:rsidR="00D2265F" w:rsidRDefault="00000000">
      <w:pPr>
        <w:spacing w:after="80"/>
      </w:pPr>
      <w:r>
        <w:rPr>
          <w:b/>
          <w:color w:val="0B2545"/>
        </w:rPr>
        <w:t xml:space="preserve">TSUE research centres: </w:t>
      </w:r>
      <w:hyperlink r:id="rId10">
        <w:r>
          <w:rPr>
            <w:color w:val="2E74B5"/>
            <w:u w:val="single"/>
          </w:rPr>
          <w:t>https://tsue.uz/en/science/scientific-centers</w:t>
        </w:r>
      </w:hyperlink>
    </w:p>
    <w:p w14:paraId="1FA250EA" w14:textId="77777777" w:rsidR="00D2265F" w:rsidRDefault="00000000">
      <w:pPr>
        <w:spacing w:after="80"/>
      </w:pPr>
      <w:r>
        <w:rPr>
          <w:b/>
          <w:color w:val="0B2545"/>
        </w:rPr>
        <w:t xml:space="preserve">TSUE information for foreign students: </w:t>
      </w:r>
      <w:hyperlink r:id="rId11">
        <w:r>
          <w:rPr>
            <w:color w:val="2E74B5"/>
            <w:u w:val="single"/>
          </w:rPr>
          <w:t>https://tsue.uz/en/page/foreign-students</w:t>
        </w:r>
      </w:hyperlink>
    </w:p>
    <w:p w14:paraId="3106D589" w14:textId="77777777" w:rsidR="00D2265F" w:rsidRDefault="00000000">
      <w:pPr>
        <w:spacing w:after="80"/>
      </w:pPr>
      <w:r>
        <w:rPr>
          <w:b/>
          <w:color w:val="0B2545"/>
        </w:rPr>
        <w:t xml:space="preserve">Official Telegram channel: </w:t>
      </w:r>
      <w:hyperlink r:id="rId12">
        <w:r>
          <w:rPr>
            <w:color w:val="2E74B5"/>
            <w:u w:val="single"/>
          </w:rPr>
          <w:t>https://t.me/tsueuzofficial</w:t>
        </w:r>
      </w:hyperlink>
    </w:p>
    <w:p w14:paraId="6E3AA8E8" w14:textId="77777777" w:rsidR="00D2265F" w:rsidRDefault="00000000">
      <w:pPr>
        <w:spacing w:after="80"/>
      </w:pPr>
      <w:r>
        <w:rPr>
          <w:b/>
          <w:color w:val="0B2545"/>
        </w:rPr>
        <w:lastRenderedPageBreak/>
        <w:t xml:space="preserve">Official YouTube channel: </w:t>
      </w:r>
      <w:hyperlink r:id="rId13">
        <w:r>
          <w:rPr>
            <w:color w:val="2E74B5"/>
            <w:u w:val="single"/>
          </w:rPr>
          <w:t>https://www.youtube.com/c/Tashkentstateuniversityofeconomics</w:t>
        </w:r>
      </w:hyperlink>
    </w:p>
    <w:sectPr w:rsidR="00D2265F" w:rsidSect="00034616">
      <w:headerReference w:type="default" r:id="rId14"/>
      <w:footerReference w:type="defaul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76B5" w14:textId="77777777" w:rsidR="006A7907" w:rsidRDefault="006A7907">
      <w:pPr>
        <w:spacing w:after="0" w:line="240" w:lineRule="auto"/>
      </w:pPr>
      <w:r>
        <w:separator/>
      </w:r>
    </w:p>
  </w:endnote>
  <w:endnote w:type="continuationSeparator" w:id="0">
    <w:p w14:paraId="3AFF9F25" w14:textId="77777777" w:rsidR="006A7907" w:rsidRDefault="006A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9580" w14:textId="77777777" w:rsidR="00D2265F" w:rsidRDefault="00000000">
    <w:pPr>
      <w:pStyle w:val="a7"/>
      <w:jc w:val="right"/>
    </w:pPr>
    <w:r>
      <w:rPr>
        <w:color w:val="5B6573"/>
        <w:sz w:val="18"/>
      </w:rPr>
      <w:t xml:space="preserve">Page </w:t>
    </w:r>
    <w:r>
      <w:rPr>
        <w:color w:val="5B6573"/>
        <w:sz w:val="18"/>
      </w:rPr>
      <w:fldChar w:fldCharType="begin"/>
    </w:r>
    <w:r>
      <w:rPr>
        <w:color w:val="5B6573"/>
        <w:sz w:val="18"/>
      </w:rPr>
      <w:instrText>PAGE</w:instrText>
    </w:r>
    <w:r w:rsidR="00EB55D6">
      <w:rPr>
        <w:color w:val="5B6573"/>
        <w:sz w:val="18"/>
      </w:rPr>
      <w:fldChar w:fldCharType="separate"/>
    </w:r>
    <w:r w:rsidR="00EB55D6">
      <w:rPr>
        <w:noProof/>
        <w:color w:val="5B6573"/>
        <w:sz w:val="18"/>
      </w:rPr>
      <w:t>1</w:t>
    </w:r>
    <w:r>
      <w:rPr>
        <w:color w:val="5B65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6F29" w14:textId="77777777" w:rsidR="006A7907" w:rsidRDefault="006A7907">
      <w:pPr>
        <w:spacing w:after="0" w:line="240" w:lineRule="auto"/>
      </w:pPr>
      <w:r>
        <w:separator/>
      </w:r>
    </w:p>
  </w:footnote>
  <w:footnote w:type="continuationSeparator" w:id="0">
    <w:p w14:paraId="00C5E96C" w14:textId="77777777" w:rsidR="006A7907" w:rsidRDefault="006A7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25B6" w14:textId="10D76F32" w:rsidR="00D2265F" w:rsidRDefault="00000000">
    <w:pPr>
      <w:pStyle w:val="a5"/>
    </w:pPr>
    <w:r>
      <w:rPr>
        <w:b/>
        <w:color w:val="5B6573"/>
        <w:sz w:val="17"/>
      </w:rPr>
      <w:t xml:space="preserve">TASHKENT STATE UNIVERSITY OF ECONOMICS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2020931">
    <w:abstractNumId w:val="8"/>
  </w:num>
  <w:num w:numId="2" w16cid:durableId="469513869">
    <w:abstractNumId w:val="6"/>
  </w:num>
  <w:num w:numId="3" w16cid:durableId="1268736357">
    <w:abstractNumId w:val="5"/>
  </w:num>
  <w:num w:numId="4" w16cid:durableId="1944455771">
    <w:abstractNumId w:val="4"/>
  </w:num>
  <w:num w:numId="5" w16cid:durableId="920681241">
    <w:abstractNumId w:val="7"/>
  </w:num>
  <w:num w:numId="6" w16cid:durableId="1605963672">
    <w:abstractNumId w:val="3"/>
  </w:num>
  <w:num w:numId="7" w16cid:durableId="1279482186">
    <w:abstractNumId w:val="2"/>
  </w:num>
  <w:num w:numId="8" w16cid:durableId="568662399">
    <w:abstractNumId w:val="1"/>
  </w:num>
  <w:num w:numId="9" w16cid:durableId="176425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AB7"/>
    <w:rsid w:val="006A7907"/>
    <w:rsid w:val="00AA1D8D"/>
    <w:rsid w:val="00B47730"/>
    <w:rsid w:val="00CB0664"/>
    <w:rsid w:val="00D2265F"/>
    <w:rsid w:val="00EB55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BFD28B"/>
  <w14:defaultImageDpi w14:val="300"/>
  <w15:docId w15:val="{76C0900E-4B53-46DA-9F06-5BF8E10B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64" w:lineRule="auto"/>
    </w:pPr>
    <w:rPr>
      <w:rFonts w:ascii="Calibri" w:hAnsi="Calibri"/>
      <w:color w:val="000000"/>
    </w:rPr>
  </w:style>
  <w:style w:type="paragraph" w:styleId="1">
    <w:name w:val="heading 1"/>
    <w:basedOn w:val="a1"/>
    <w:next w:val="a1"/>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1">
    <w:name w:val="heading 2"/>
    <w:basedOn w:val="a1"/>
    <w:next w:val="a1"/>
    <w:link w:val="22"/>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1">
    <w:name w:val="heading 3"/>
    <w:basedOn w:val="a1"/>
    <w:next w:val="a1"/>
    <w:link w:val="32"/>
    <w:uiPriority w:val="9"/>
    <w:unhideWhenUsed/>
    <w:qFormat/>
    <w:rsid w:val="00FC693F"/>
    <w:pPr>
      <w:keepNext/>
      <w:keepLines/>
      <w:spacing w:before="160" w:after="80"/>
      <w:outlineLvl w:val="2"/>
    </w:pPr>
    <w:rPr>
      <w:rFonts w:asciiTheme="majorHAnsi" w:eastAsiaTheme="majorEastAsia" w:hAnsiTheme="majorHAnsi" w:cstheme="majorBidi"/>
      <w:b/>
      <w:bCs/>
      <w:color w:val="1F4E78"/>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b/>
      <w:color w:val="0B2545"/>
      <w:spacing w:val="5"/>
      <w:kern w:val="28"/>
      <w:sz w:val="50"/>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spacing w:after="80" w:line="280" w:lineRule="auto"/>
      <w:ind w:left="720"/>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spacing w:after="80" w:line="280" w:lineRule="auto"/>
      <w:ind w:left="720"/>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meshighereducation.com/world-university-rankings/tashkent-state-university-economics" TargetMode="External"/><Relationship Id="rId13" Type="http://schemas.openxmlformats.org/officeDocument/2006/relationships/hyperlink" Target="https://www.youtube.com/c/Tashkentstateuniversityofeconom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e/tsueuzoffici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sue.uz/en/page/foreign-studen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sue.uz/en/science/scientific-centers" TargetMode="External"/><Relationship Id="rId4" Type="http://schemas.openxmlformats.org/officeDocument/2006/relationships/settings" Target="settings.xml"/><Relationship Id="rId9" Type="http://schemas.openxmlformats.org/officeDocument/2006/relationships/hyperlink" Target="https://tsue.uz/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2026-07-13T11:40:00Z</dcterms:modified>
  <cp:category/>
</cp:coreProperties>
</file>