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A2806" w14:textId="77777777" w:rsidR="00E04B8E" w:rsidRDefault="00000000">
      <w:pPr>
        <w:pStyle w:val="aa"/>
      </w:pPr>
      <w:r>
        <w:rPr>
          <w:rFonts w:ascii="Calibri" w:hAnsi="Calibri"/>
        </w:rPr>
        <w:t>University Profile and Prospectus</w:t>
      </w:r>
    </w:p>
    <w:p w14:paraId="66EE7533" w14:textId="77777777" w:rsidR="00E04B8E" w:rsidRDefault="00000000">
      <w:pPr>
        <w:spacing w:after="200"/>
      </w:pPr>
      <w:r>
        <w:rPr>
          <w:i/>
          <w:color w:val="5B6573"/>
          <w:sz w:val="24"/>
        </w:rPr>
        <w:t>Institutional overview for international audiences</w:t>
      </w:r>
    </w:p>
    <w:p w14:paraId="65130BA7" w14:textId="77777777" w:rsidR="00E04B8E" w:rsidRDefault="00000000">
      <w:pPr>
        <w:spacing w:after="40" w:line="240" w:lineRule="auto"/>
      </w:pPr>
      <w:r>
        <w:rPr>
          <w:b/>
          <w:color w:val="0B2545"/>
          <w:sz w:val="21"/>
        </w:rPr>
        <w:t xml:space="preserve">Institution: </w:t>
      </w:r>
      <w:r>
        <w:rPr>
          <w:color w:val="5B6573"/>
          <w:sz w:val="21"/>
        </w:rPr>
        <w:t>Tashkent State University of Economics (TSUE)</w:t>
      </w:r>
    </w:p>
    <w:p w14:paraId="26B2F59D" w14:textId="77777777" w:rsidR="00E04B8E" w:rsidRDefault="00000000">
      <w:pPr>
        <w:spacing w:after="40" w:line="240" w:lineRule="auto"/>
      </w:pPr>
      <w:r>
        <w:rPr>
          <w:b/>
          <w:color w:val="0B2545"/>
          <w:sz w:val="21"/>
        </w:rPr>
        <w:t xml:space="preserve">Prepared: </w:t>
      </w:r>
      <w:r>
        <w:rPr>
          <w:color w:val="5B6573"/>
          <w:sz w:val="21"/>
        </w:rPr>
        <w:t>10 July 2026</w:t>
      </w:r>
    </w:p>
    <w:p w14:paraId="3A8549BF" w14:textId="77777777" w:rsidR="00E04B8E" w:rsidRDefault="00E04B8E">
      <w:pPr>
        <w:pBdr>
          <w:bottom w:val="single" w:sz="10" w:space="1" w:color="2E74B5"/>
        </w:pBdr>
        <w:spacing w:before="120" w:after="160"/>
      </w:pPr>
    </w:p>
    <w:p w14:paraId="266B09B1" w14:textId="77777777" w:rsidR="00E04B8E" w:rsidRDefault="00000000">
      <w:pPr>
        <w:pStyle w:val="1"/>
      </w:pPr>
      <w:r>
        <w:t>Institution at a glance</w:t>
      </w:r>
    </w:p>
    <w:tbl>
      <w:tblPr>
        <w:tblStyle w:val="aff0"/>
        <w:tblW w:w="9360" w:type="dxa"/>
        <w:tblInd w:w="120" w:type="dxa"/>
        <w:tblBorders>
          <w:top w:val="single" w:sz="6" w:space="0" w:color="B7C4D4"/>
          <w:left w:val="single" w:sz="6" w:space="0" w:color="B7C4D4"/>
          <w:bottom w:val="single" w:sz="6" w:space="0" w:color="B7C4D4"/>
          <w:right w:val="single" w:sz="6" w:space="0" w:color="B7C4D4"/>
          <w:insideH w:val="single" w:sz="6" w:space="0" w:color="B7C4D4"/>
          <w:insideV w:val="single" w:sz="6" w:space="0" w:color="B7C4D4"/>
        </w:tblBorders>
        <w:tblLayout w:type="fixed"/>
        <w:tblLook w:val="04A0" w:firstRow="1" w:lastRow="0" w:firstColumn="1" w:lastColumn="0" w:noHBand="0" w:noVBand="1"/>
      </w:tblPr>
      <w:tblGrid>
        <w:gridCol w:w="2250"/>
        <w:gridCol w:w="7110"/>
      </w:tblGrid>
      <w:tr w:rsidR="00E04B8E" w14:paraId="674B71E7" w14:textId="77777777">
        <w:trPr>
          <w:cantSplit/>
          <w:tblHeader/>
        </w:trPr>
        <w:tc>
          <w:tcPr>
            <w:tcW w:w="2250" w:type="dxa"/>
            <w:shd w:val="clear" w:color="auto" w:fill="1F4E78"/>
            <w:tcMar>
              <w:top w:w="80" w:type="dxa"/>
              <w:left w:w="120" w:type="dxa"/>
              <w:bottom w:w="80" w:type="dxa"/>
              <w:right w:w="120" w:type="dxa"/>
            </w:tcMar>
            <w:vAlign w:val="center"/>
          </w:tcPr>
          <w:p w14:paraId="735F94F4" w14:textId="77777777" w:rsidR="00E04B8E" w:rsidRDefault="00000000">
            <w:pPr>
              <w:spacing w:after="0" w:line="240" w:lineRule="auto"/>
            </w:pPr>
            <w:r>
              <w:rPr>
                <w:b/>
                <w:color w:val="FFFFFF"/>
              </w:rPr>
              <w:t>Field</w:t>
            </w:r>
          </w:p>
        </w:tc>
        <w:tc>
          <w:tcPr>
            <w:tcW w:w="7110" w:type="dxa"/>
            <w:shd w:val="clear" w:color="auto" w:fill="1F4E78"/>
            <w:tcMar>
              <w:top w:w="80" w:type="dxa"/>
              <w:left w:w="120" w:type="dxa"/>
              <w:bottom w:w="80" w:type="dxa"/>
              <w:right w:w="120" w:type="dxa"/>
            </w:tcMar>
            <w:vAlign w:val="center"/>
          </w:tcPr>
          <w:p w14:paraId="34E243AF" w14:textId="77777777" w:rsidR="00E04B8E" w:rsidRDefault="00000000">
            <w:pPr>
              <w:spacing w:after="0" w:line="240" w:lineRule="auto"/>
            </w:pPr>
            <w:r>
              <w:rPr>
                <w:b/>
                <w:color w:val="FFFFFF"/>
              </w:rPr>
              <w:t>Information</w:t>
            </w:r>
          </w:p>
        </w:tc>
      </w:tr>
      <w:tr w:rsidR="00E04B8E" w14:paraId="3CF673F3" w14:textId="77777777">
        <w:trPr>
          <w:cantSplit/>
        </w:trPr>
        <w:tc>
          <w:tcPr>
            <w:tcW w:w="2250" w:type="dxa"/>
            <w:shd w:val="clear" w:color="auto" w:fill="F2F4F7"/>
          </w:tcPr>
          <w:p w14:paraId="545DA93F" w14:textId="77777777" w:rsidR="00E04B8E" w:rsidRDefault="00000000">
            <w:pPr>
              <w:spacing w:after="0" w:line="252" w:lineRule="auto"/>
            </w:pPr>
            <w:r>
              <w:rPr>
                <w:b/>
                <w:color w:val="0B2545"/>
              </w:rPr>
              <w:t>Official name</w:t>
            </w:r>
          </w:p>
        </w:tc>
        <w:tc>
          <w:tcPr>
            <w:tcW w:w="7110" w:type="dxa"/>
          </w:tcPr>
          <w:p w14:paraId="2832B92B" w14:textId="77777777" w:rsidR="00E04B8E" w:rsidRDefault="00000000">
            <w:pPr>
              <w:spacing w:after="0" w:line="252" w:lineRule="auto"/>
            </w:pPr>
            <w:r>
              <w:t>Tashkent State University of Economics</w:t>
            </w:r>
          </w:p>
        </w:tc>
      </w:tr>
      <w:tr w:rsidR="00E04B8E" w14:paraId="5DD39C0B" w14:textId="77777777">
        <w:trPr>
          <w:cantSplit/>
        </w:trPr>
        <w:tc>
          <w:tcPr>
            <w:tcW w:w="2250" w:type="dxa"/>
            <w:shd w:val="clear" w:color="auto" w:fill="F2F4F7"/>
          </w:tcPr>
          <w:p w14:paraId="55CAF623" w14:textId="77777777" w:rsidR="00E04B8E" w:rsidRDefault="00000000">
            <w:pPr>
              <w:spacing w:after="0" w:line="252" w:lineRule="auto"/>
            </w:pPr>
            <w:r>
              <w:rPr>
                <w:b/>
                <w:color w:val="0B2545"/>
              </w:rPr>
              <w:t>Short name</w:t>
            </w:r>
          </w:p>
        </w:tc>
        <w:tc>
          <w:tcPr>
            <w:tcW w:w="7110" w:type="dxa"/>
          </w:tcPr>
          <w:p w14:paraId="665173C8" w14:textId="77777777" w:rsidR="00E04B8E" w:rsidRDefault="00000000">
            <w:pPr>
              <w:spacing w:after="0" w:line="252" w:lineRule="auto"/>
            </w:pPr>
            <w:r>
              <w:t>TSUE</w:t>
            </w:r>
          </w:p>
        </w:tc>
      </w:tr>
      <w:tr w:rsidR="00E04B8E" w14:paraId="630A19F9" w14:textId="77777777">
        <w:trPr>
          <w:cantSplit/>
        </w:trPr>
        <w:tc>
          <w:tcPr>
            <w:tcW w:w="2250" w:type="dxa"/>
            <w:shd w:val="clear" w:color="auto" w:fill="F2F4F7"/>
          </w:tcPr>
          <w:p w14:paraId="1A162A6A" w14:textId="77777777" w:rsidR="00E04B8E" w:rsidRDefault="00000000">
            <w:pPr>
              <w:spacing w:after="0" w:line="252" w:lineRule="auto"/>
            </w:pPr>
            <w:r>
              <w:rPr>
                <w:b/>
                <w:color w:val="0B2545"/>
              </w:rPr>
              <w:t>Location</w:t>
            </w:r>
          </w:p>
        </w:tc>
        <w:tc>
          <w:tcPr>
            <w:tcW w:w="7110" w:type="dxa"/>
          </w:tcPr>
          <w:p w14:paraId="5F65E4DF" w14:textId="77777777" w:rsidR="00E04B8E" w:rsidRDefault="00000000">
            <w:pPr>
              <w:spacing w:after="0" w:line="252" w:lineRule="auto"/>
            </w:pPr>
            <w:r>
              <w:t>Tashkent, Uzbekistan</w:t>
            </w:r>
          </w:p>
        </w:tc>
      </w:tr>
      <w:tr w:rsidR="00E04B8E" w14:paraId="0DF0BAE7" w14:textId="77777777">
        <w:trPr>
          <w:cantSplit/>
        </w:trPr>
        <w:tc>
          <w:tcPr>
            <w:tcW w:w="2250" w:type="dxa"/>
            <w:shd w:val="clear" w:color="auto" w:fill="F2F4F7"/>
          </w:tcPr>
          <w:p w14:paraId="159352EE" w14:textId="77777777" w:rsidR="00E04B8E" w:rsidRDefault="00000000">
            <w:pPr>
              <w:spacing w:after="0" w:line="252" w:lineRule="auto"/>
            </w:pPr>
            <w:r>
              <w:rPr>
                <w:b/>
                <w:color w:val="0B2545"/>
              </w:rPr>
              <w:t>Founded</w:t>
            </w:r>
          </w:p>
        </w:tc>
        <w:tc>
          <w:tcPr>
            <w:tcW w:w="7110" w:type="dxa"/>
          </w:tcPr>
          <w:p w14:paraId="4FE13666" w14:textId="77777777" w:rsidR="00E04B8E" w:rsidRDefault="00000000">
            <w:pPr>
              <w:spacing w:after="0" w:line="252" w:lineRule="auto"/>
            </w:pPr>
            <w:r>
              <w:t>13 August 1931</w:t>
            </w:r>
          </w:p>
        </w:tc>
      </w:tr>
      <w:tr w:rsidR="00E04B8E" w14:paraId="6379D7DA" w14:textId="77777777">
        <w:trPr>
          <w:cantSplit/>
        </w:trPr>
        <w:tc>
          <w:tcPr>
            <w:tcW w:w="2250" w:type="dxa"/>
            <w:shd w:val="clear" w:color="auto" w:fill="F2F4F7"/>
          </w:tcPr>
          <w:p w14:paraId="673EED35" w14:textId="77777777" w:rsidR="00E04B8E" w:rsidRDefault="00000000">
            <w:pPr>
              <w:spacing w:after="0" w:line="252" w:lineRule="auto"/>
            </w:pPr>
            <w:r>
              <w:rPr>
                <w:b/>
                <w:color w:val="0B2545"/>
              </w:rPr>
              <w:t>Institutional focus</w:t>
            </w:r>
          </w:p>
        </w:tc>
        <w:tc>
          <w:tcPr>
            <w:tcW w:w="7110" w:type="dxa"/>
          </w:tcPr>
          <w:p w14:paraId="741EFA6B" w14:textId="77777777" w:rsidR="00E04B8E" w:rsidRDefault="00000000">
            <w:pPr>
              <w:spacing w:after="0" w:line="252" w:lineRule="auto"/>
            </w:pPr>
            <w:r>
              <w:t>Economics, finance, business, management, digital economy and public policy</w:t>
            </w:r>
          </w:p>
        </w:tc>
      </w:tr>
      <w:tr w:rsidR="00E04B8E" w14:paraId="618CE240" w14:textId="77777777">
        <w:trPr>
          <w:cantSplit/>
        </w:trPr>
        <w:tc>
          <w:tcPr>
            <w:tcW w:w="2250" w:type="dxa"/>
            <w:shd w:val="clear" w:color="auto" w:fill="F2F4F7"/>
          </w:tcPr>
          <w:p w14:paraId="545A9F22" w14:textId="77777777" w:rsidR="00E04B8E" w:rsidRDefault="00000000">
            <w:pPr>
              <w:spacing w:after="0" w:line="252" w:lineRule="auto"/>
            </w:pPr>
            <w:r>
              <w:rPr>
                <w:b/>
                <w:color w:val="0B2545"/>
              </w:rPr>
              <w:t>THE Impact Rankings 2026</w:t>
            </w:r>
          </w:p>
        </w:tc>
        <w:tc>
          <w:tcPr>
            <w:tcW w:w="7110" w:type="dxa"/>
          </w:tcPr>
          <w:p w14:paraId="3397CC7F" w14:textId="77777777" w:rsidR="00E04B8E" w:rsidRDefault="00000000">
            <w:pPr>
              <w:spacing w:after="0" w:line="252" w:lineRule="auto"/>
            </w:pPr>
            <w:r>
              <w:t>101–200 overall</w:t>
            </w:r>
          </w:p>
        </w:tc>
      </w:tr>
      <w:tr w:rsidR="00E04B8E" w14:paraId="2D1B9689" w14:textId="77777777">
        <w:trPr>
          <w:cantSplit/>
        </w:trPr>
        <w:tc>
          <w:tcPr>
            <w:tcW w:w="2250" w:type="dxa"/>
            <w:shd w:val="clear" w:color="auto" w:fill="F2F4F7"/>
          </w:tcPr>
          <w:p w14:paraId="74D0A157" w14:textId="77777777" w:rsidR="00E04B8E" w:rsidRDefault="00000000">
            <w:pPr>
              <w:spacing w:after="0" w:line="252" w:lineRule="auto"/>
            </w:pPr>
            <w:r>
              <w:rPr>
                <w:b/>
                <w:color w:val="0B2545"/>
              </w:rPr>
              <w:t>Official website</w:t>
            </w:r>
          </w:p>
        </w:tc>
        <w:tc>
          <w:tcPr>
            <w:tcW w:w="7110" w:type="dxa"/>
          </w:tcPr>
          <w:p w14:paraId="02CA7C9F" w14:textId="77777777" w:rsidR="00E04B8E" w:rsidRDefault="00000000">
            <w:pPr>
              <w:spacing w:after="0" w:line="252" w:lineRule="auto"/>
            </w:pPr>
            <w:r>
              <w:t>https://tsue.uz/en</w:t>
            </w:r>
          </w:p>
        </w:tc>
      </w:tr>
    </w:tbl>
    <w:p w14:paraId="166AD726" w14:textId="77777777" w:rsidR="00E04B8E" w:rsidRDefault="00000000">
      <w:pPr>
        <w:pStyle w:val="1"/>
      </w:pPr>
      <w:r>
        <w:t>University description</w:t>
      </w:r>
    </w:p>
    <w:p w14:paraId="1BCC7AF7" w14:textId="77777777" w:rsidR="00E04B8E" w:rsidRDefault="00000000">
      <w:r>
        <w:t>Tashkent State University of Economics (TSUE) is Uzbekistan’s historic university for economics, finance and public policy, founded in Tashkent on 13 August 1931. In the Times Higher Education Impact Rankings 2026, TSUE is placed in the 101–200 band overall, with strong results in Good Health and Well-being (13th), Gender Equality (=14th), Responsible Consumption and Production (19th), Life on Land (39th), Climate Action (41st), Peace, Justice and Strong Institutions (=85th), and Partnership for the Goals (101–200).</w:t>
      </w:r>
    </w:p>
    <w:p w14:paraId="0E960503" w14:textId="77777777" w:rsidR="00E04B8E" w:rsidRDefault="00000000">
      <w:r>
        <w:t>Over nine decades, TSUE has grown from the Central Asian Institute of Finance and Economics into one of the country’s principal institutions for economic education and research. In 1991, it took the name Tashkent State University of Economics. Known in Uzbekistan as the University of Leaders, TSUE prepares economists, financiers, managers, policy professionals and researchers whose work reaches public administration, banking, business, international development and the wider economy. Its purpose is not simply to transmit technical knowledge, but to develop the judgement, analytical discipline and sense of public responsibility required to lead in a changing economy.</w:t>
      </w:r>
    </w:p>
    <w:p w14:paraId="2C4B0F2B" w14:textId="77777777" w:rsidR="00E04B8E" w:rsidRDefault="00000000">
      <w:r>
        <w:t xml:space="preserve">TSUE’s academic profile is broad while retaining a clear economic core. The published THE profile gives a 2023 snapshot of 11 faculties, 35 departments, 43 functional departments and 14 research centres. It lists 35 full-time bachelor’s courses, 3 remote bachelor’s courses, 24 part-time bachelor’s courses and 37 master’s specialities across Social Sciences and Management and Arts and Humanities. The portfolio includes accounting and finance, business and management, economics and econometrics, computer </w:t>
      </w:r>
      <w:r>
        <w:lastRenderedPageBreak/>
        <w:t>science, education, mathematics and statistics, environmental and earth sciences, politics and international studies, communication and sociology. This breadth allows students to approach economic questions through quantitative, technological, institutional and social perspectives.</w:t>
      </w:r>
    </w:p>
    <w:p w14:paraId="5691BE9C" w14:textId="77777777" w:rsidR="00E04B8E" w:rsidRDefault="00000000">
      <w:r>
        <w:t>International engagement is integrated into the university’s academic offer. The THE profile records 160 partner universities and 1,391 students from 17 countries participating in degree study, exchange and seasonal programmes. Seven joint-degree programmes include collaborations with the London School of Economics and Political Science, Missouri State University, Indonesia University of Education and IMC University of Applied Sciences Krems. Erasmus+ and Fulbright provide further channels for academic mobility, research cooperation and professional exchange. National and international branches extend this network beyond the central Tashkent campus.</w:t>
      </w:r>
    </w:p>
    <w:p w14:paraId="304A4648" w14:textId="77777777" w:rsidR="00E04B8E" w:rsidRDefault="00000000">
      <w:r>
        <w:t>Research at TSUE is oriented toward questions that matter in practice: the competitiveness of Uzbekistan’s economy, digital finance, sustainable finance, green economic transition, climate policy, financial inclusion, responsible business and public-sector performance. The Digital Economy incubation centre, working with IT Park, gives students and researchers a route from an idea to a tested business proposition. The New Climate Innovations centre, established in 2022, adds a dedicated platform for research on global and national economic challenges. Scientific journals and research centres provide an institutional base for publishing, debate and knowledge exchange.</w:t>
      </w:r>
    </w:p>
    <w:p w14:paraId="2C77094E" w14:textId="77777777" w:rsidR="00E04B8E" w:rsidRDefault="00000000">
      <w:r>
        <w:t>TSUE treats sustainability as part of economic literacy and institutional practice. Its SDG 17 work brings together the Ecological Party of Uzbekistan, the Center for Retraining and Advanced Training in Environmental Protection, international academic partners including the International Centre for Education in Islamic Finance (INCEIF), Malaysia, and the Digital Finance Incubation and Acceleration Centre. This work links policy dialogue with environmental measurement, professional training, student innovation and research in ethical finance. An SDG Learning Platform offers modules on Introduction to Sustainability and the SDGs, Applying the SDGs in Campus Life, and Strategic Planning, Monitoring &amp; Evaluation of SDG Initiatives, giving students a way to connect global frameworks with campus and national priorities.</w:t>
      </w:r>
    </w:p>
    <w:p w14:paraId="6DACC44F" w14:textId="77777777" w:rsidR="00E04B8E" w:rsidRDefault="00000000">
      <w:r>
        <w:t>TSUE’s distinctive strength is the connection it makes between economic expertise and public purpose. It is building an internationally engaged university that remains accountable to Uzbekistan’s development needs—one that prepares graduates to work with evidence, understand complexity and contribute to economies being reshaped by technology, climate risk and new forms of finance.</w:t>
      </w:r>
    </w:p>
    <w:p w14:paraId="17F3F5C6" w14:textId="77777777" w:rsidR="00E04B8E" w:rsidRDefault="00000000">
      <w:pPr>
        <w:pStyle w:val="1"/>
      </w:pPr>
      <w:r>
        <w:t>Key links</w:t>
      </w:r>
    </w:p>
    <w:p w14:paraId="05287623" w14:textId="77777777" w:rsidR="00E04B8E" w:rsidRDefault="00000000">
      <w:pPr>
        <w:spacing w:after="80"/>
      </w:pPr>
      <w:r>
        <w:rPr>
          <w:b/>
          <w:color w:val="0B2545"/>
        </w:rPr>
        <w:t xml:space="preserve">Official university website: </w:t>
      </w:r>
      <w:hyperlink r:id="rId8">
        <w:r>
          <w:rPr>
            <w:color w:val="2E74B5"/>
            <w:u w:val="single"/>
          </w:rPr>
          <w:t>https://tsue.uz/en</w:t>
        </w:r>
      </w:hyperlink>
    </w:p>
    <w:p w14:paraId="7C48E1F2" w14:textId="77777777" w:rsidR="00E04B8E" w:rsidRDefault="00000000">
      <w:pPr>
        <w:spacing w:after="80"/>
      </w:pPr>
      <w:r>
        <w:rPr>
          <w:b/>
          <w:color w:val="0B2545"/>
        </w:rPr>
        <w:t xml:space="preserve">THE university profile: </w:t>
      </w:r>
      <w:hyperlink r:id="rId9">
        <w:r>
          <w:rPr>
            <w:color w:val="2E74B5"/>
            <w:u w:val="single"/>
          </w:rPr>
          <w:t>https://www.timeshighereducation.com/world-university-rankings/tashkent-state-university-economics</w:t>
        </w:r>
      </w:hyperlink>
    </w:p>
    <w:p w14:paraId="1310FAD3" w14:textId="77777777" w:rsidR="00E04B8E" w:rsidRDefault="00000000">
      <w:pPr>
        <w:spacing w:after="80"/>
      </w:pPr>
      <w:r>
        <w:rPr>
          <w:b/>
          <w:color w:val="0B2545"/>
        </w:rPr>
        <w:t xml:space="preserve">Course catalogues: </w:t>
      </w:r>
      <w:hyperlink r:id="rId10">
        <w:r>
          <w:rPr>
            <w:color w:val="2E74B5"/>
            <w:u w:val="single"/>
          </w:rPr>
          <w:t>https://tsue.uz/en/courses</w:t>
        </w:r>
      </w:hyperlink>
    </w:p>
    <w:p w14:paraId="0D733883" w14:textId="77777777" w:rsidR="00E04B8E" w:rsidRDefault="00000000">
      <w:pPr>
        <w:spacing w:after="80"/>
      </w:pPr>
      <w:r>
        <w:rPr>
          <w:b/>
          <w:color w:val="0B2545"/>
        </w:rPr>
        <w:t xml:space="preserve">Scientific journals: </w:t>
      </w:r>
      <w:hyperlink r:id="rId11">
        <w:r>
          <w:rPr>
            <w:color w:val="2E74B5"/>
            <w:u w:val="single"/>
          </w:rPr>
          <w:t>https://tsue.uz/en/science/scientific-magazines</w:t>
        </w:r>
      </w:hyperlink>
    </w:p>
    <w:p w14:paraId="184BB47C" w14:textId="77777777" w:rsidR="00E04B8E" w:rsidRDefault="00000000">
      <w:pPr>
        <w:spacing w:after="80"/>
      </w:pPr>
      <w:r>
        <w:rPr>
          <w:b/>
          <w:color w:val="0B2545"/>
        </w:rPr>
        <w:t xml:space="preserve">Admissions and registration: </w:t>
      </w:r>
      <w:hyperlink r:id="rId12">
        <w:r>
          <w:rPr>
            <w:color w:val="2E74B5"/>
            <w:u w:val="single"/>
          </w:rPr>
          <w:t>https://tsue.uz/en/admission</w:t>
        </w:r>
      </w:hyperlink>
    </w:p>
    <w:p w14:paraId="2B57CA0C" w14:textId="77777777" w:rsidR="00E04B8E" w:rsidRDefault="00000000">
      <w:pPr>
        <w:spacing w:after="80"/>
      </w:pPr>
      <w:r>
        <w:rPr>
          <w:b/>
          <w:color w:val="0B2545"/>
        </w:rPr>
        <w:t xml:space="preserve">International and foreign-student information: </w:t>
      </w:r>
      <w:hyperlink r:id="rId13">
        <w:r>
          <w:rPr>
            <w:color w:val="2E74B5"/>
            <w:u w:val="single"/>
          </w:rPr>
          <w:t>https://tsue.uz/en/page/foreign-students</w:t>
        </w:r>
      </w:hyperlink>
    </w:p>
    <w:sectPr w:rsidR="00E04B8E" w:rsidSect="00034616">
      <w:headerReference w:type="default" r:id="rId14"/>
      <w:footerReference w:type="default" r:id="rId15"/>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52F58" w14:textId="77777777" w:rsidR="005B0322" w:rsidRDefault="005B0322">
      <w:pPr>
        <w:spacing w:after="0" w:line="240" w:lineRule="auto"/>
      </w:pPr>
      <w:r>
        <w:separator/>
      </w:r>
    </w:p>
  </w:endnote>
  <w:endnote w:type="continuationSeparator" w:id="0">
    <w:p w14:paraId="5CD61BDF" w14:textId="77777777" w:rsidR="005B0322" w:rsidRDefault="005B0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C6671" w14:textId="77777777" w:rsidR="00E04B8E" w:rsidRDefault="00000000">
    <w:pPr>
      <w:pStyle w:val="a7"/>
      <w:jc w:val="right"/>
    </w:pPr>
    <w:r>
      <w:rPr>
        <w:color w:val="5B6573"/>
        <w:sz w:val="18"/>
      </w:rPr>
      <w:t xml:space="preserve">Page </w:t>
    </w:r>
    <w:r>
      <w:rPr>
        <w:color w:val="5B6573"/>
        <w:sz w:val="18"/>
      </w:rPr>
      <w:fldChar w:fldCharType="begin"/>
    </w:r>
    <w:r>
      <w:rPr>
        <w:color w:val="5B6573"/>
        <w:sz w:val="18"/>
      </w:rPr>
      <w:instrText>PAGE</w:instrText>
    </w:r>
    <w:r w:rsidR="00D10EC9">
      <w:rPr>
        <w:color w:val="5B6573"/>
        <w:sz w:val="18"/>
      </w:rPr>
      <w:fldChar w:fldCharType="separate"/>
    </w:r>
    <w:r w:rsidR="00D10EC9">
      <w:rPr>
        <w:noProof/>
        <w:color w:val="5B6573"/>
        <w:sz w:val="18"/>
      </w:rPr>
      <w:t>1</w:t>
    </w:r>
    <w:r>
      <w:rPr>
        <w:color w:val="5B6573"/>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7E681" w14:textId="77777777" w:rsidR="005B0322" w:rsidRDefault="005B0322">
      <w:pPr>
        <w:spacing w:after="0" w:line="240" w:lineRule="auto"/>
      </w:pPr>
      <w:r>
        <w:separator/>
      </w:r>
    </w:p>
  </w:footnote>
  <w:footnote w:type="continuationSeparator" w:id="0">
    <w:p w14:paraId="777E7EEE" w14:textId="77777777" w:rsidR="005B0322" w:rsidRDefault="005B03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01000" w14:textId="6C9FEB2C" w:rsidR="00E04B8E" w:rsidRDefault="00000000">
    <w:pPr>
      <w:pStyle w:val="a5"/>
    </w:pPr>
    <w:r>
      <w:rPr>
        <w:b/>
        <w:color w:val="5B6573"/>
        <w:sz w:val="17"/>
      </w:rPr>
      <w:t xml:space="preserve">TASHKENT STATE UNIVERSITY OF ECONOMICS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65425110">
    <w:abstractNumId w:val="8"/>
  </w:num>
  <w:num w:numId="2" w16cid:durableId="1373000072">
    <w:abstractNumId w:val="6"/>
  </w:num>
  <w:num w:numId="3" w16cid:durableId="1712656379">
    <w:abstractNumId w:val="5"/>
  </w:num>
  <w:num w:numId="4" w16cid:durableId="549807031">
    <w:abstractNumId w:val="4"/>
  </w:num>
  <w:num w:numId="5" w16cid:durableId="954096588">
    <w:abstractNumId w:val="7"/>
  </w:num>
  <w:num w:numId="6" w16cid:durableId="1109740684">
    <w:abstractNumId w:val="3"/>
  </w:num>
  <w:num w:numId="7" w16cid:durableId="1896968170">
    <w:abstractNumId w:val="2"/>
  </w:num>
  <w:num w:numId="8" w16cid:durableId="524831216">
    <w:abstractNumId w:val="1"/>
  </w:num>
  <w:num w:numId="9" w16cid:durableId="1263806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44E9E"/>
    <w:rsid w:val="005B0322"/>
    <w:rsid w:val="00AA1D8D"/>
    <w:rsid w:val="00B47730"/>
    <w:rsid w:val="00CB0664"/>
    <w:rsid w:val="00D10EC9"/>
    <w:rsid w:val="00E04B8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5214F3"/>
  <w14:defaultImageDpi w14:val="300"/>
  <w15:docId w15:val="{8FD685C4-A34E-4A97-84DF-53EDF73B3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120" w:line="264" w:lineRule="auto"/>
    </w:pPr>
    <w:rPr>
      <w:rFonts w:ascii="Calibri" w:hAnsi="Calibri"/>
      <w:color w:val="000000"/>
    </w:rPr>
  </w:style>
  <w:style w:type="paragraph" w:styleId="1">
    <w:name w:val="heading 1"/>
    <w:basedOn w:val="a1"/>
    <w:next w:val="a1"/>
    <w:link w:val="10"/>
    <w:uiPriority w:val="9"/>
    <w:qFormat/>
    <w:rsid w:val="00FC693F"/>
    <w:pPr>
      <w:keepNext/>
      <w:keepLines/>
      <w:spacing w:before="320" w:after="160"/>
      <w:outlineLvl w:val="0"/>
    </w:pPr>
    <w:rPr>
      <w:rFonts w:asciiTheme="majorHAnsi" w:eastAsiaTheme="majorEastAsia" w:hAnsiTheme="majorHAnsi" w:cstheme="majorBidi"/>
      <w:b/>
      <w:bCs/>
      <w:color w:val="2E74B5"/>
      <w:sz w:val="32"/>
      <w:szCs w:val="28"/>
    </w:rPr>
  </w:style>
  <w:style w:type="paragraph" w:styleId="21">
    <w:name w:val="heading 2"/>
    <w:basedOn w:val="a1"/>
    <w:next w:val="a1"/>
    <w:link w:val="22"/>
    <w:uiPriority w:val="9"/>
    <w:unhideWhenUsed/>
    <w:qFormat/>
    <w:rsid w:val="00FC693F"/>
    <w:pPr>
      <w:keepNext/>
      <w:keepLines/>
      <w:spacing w:before="240"/>
      <w:outlineLvl w:val="1"/>
    </w:pPr>
    <w:rPr>
      <w:rFonts w:asciiTheme="majorHAnsi" w:eastAsiaTheme="majorEastAsia" w:hAnsiTheme="majorHAnsi" w:cstheme="majorBidi"/>
      <w:b/>
      <w:bCs/>
      <w:color w:val="2E74B5"/>
      <w:sz w:val="26"/>
      <w:szCs w:val="26"/>
    </w:rPr>
  </w:style>
  <w:style w:type="paragraph" w:styleId="31">
    <w:name w:val="heading 3"/>
    <w:basedOn w:val="a1"/>
    <w:next w:val="a1"/>
    <w:link w:val="32"/>
    <w:uiPriority w:val="9"/>
    <w:unhideWhenUsed/>
    <w:qFormat/>
    <w:rsid w:val="00FC693F"/>
    <w:pPr>
      <w:keepNext/>
      <w:keepLines/>
      <w:spacing w:before="160" w:after="80"/>
      <w:outlineLvl w:val="2"/>
    </w:pPr>
    <w:rPr>
      <w:rFonts w:asciiTheme="majorHAnsi" w:eastAsiaTheme="majorEastAsia" w:hAnsiTheme="majorHAnsi" w:cstheme="majorBidi"/>
      <w:b/>
      <w:bCs/>
      <w:color w:val="1F4E78"/>
      <w:sz w:val="24"/>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80" w:line="240" w:lineRule="auto"/>
      <w:contextualSpacing/>
    </w:pPr>
    <w:rPr>
      <w:rFonts w:asciiTheme="majorHAnsi" w:eastAsiaTheme="majorEastAsia" w:hAnsiTheme="majorHAnsi" w:cstheme="majorBidi"/>
      <w:b/>
      <w:color w:val="0B2545"/>
      <w:spacing w:val="5"/>
      <w:kern w:val="28"/>
      <w:sz w:val="50"/>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spacing w:after="80" w:line="280" w:lineRule="auto"/>
      <w:ind w:left="720"/>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spacing w:after="80" w:line="280" w:lineRule="auto"/>
      <w:ind w:left="720"/>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ind w:left="360"/>
      <w:contextualSpacing/>
    </w:pPr>
  </w:style>
  <w:style w:type="paragraph" w:styleId="26">
    <w:name w:val="List Continue 2"/>
    <w:basedOn w:val="a1"/>
    <w:uiPriority w:val="99"/>
    <w:unhideWhenUsed/>
    <w:rsid w:val="0029639D"/>
    <w:pPr>
      <w:ind w:left="720"/>
      <w:contextualSpacing/>
    </w:pPr>
  </w:style>
  <w:style w:type="paragraph" w:styleId="36">
    <w:name w:val="List Continue 3"/>
    <w:basedOn w:val="a1"/>
    <w:uiPriority w:val="99"/>
    <w:unhideWhenUsed/>
    <w:rsid w:val="0029639D"/>
    <w:pPr>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tsue.uz/en" TargetMode="External"/><Relationship Id="rId13" Type="http://schemas.openxmlformats.org/officeDocument/2006/relationships/hyperlink" Target="https://tsue.uz/en/page/foreign-studen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sue.uz/en/admissio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sue.uz/en/science/scientific-magazin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tsue.uz/en/courses" TargetMode="External"/><Relationship Id="rId4" Type="http://schemas.openxmlformats.org/officeDocument/2006/relationships/settings" Target="settings.xml"/><Relationship Id="rId9" Type="http://schemas.openxmlformats.org/officeDocument/2006/relationships/hyperlink" Target="https://www.timeshighereducation.com/world-university-rankings/tashkent-state-university-economic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877</Words>
  <Characters>5003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2</cp:revision>
  <dcterms:created xsi:type="dcterms:W3CDTF">2013-12-23T23:15:00Z</dcterms:created>
  <dcterms:modified xsi:type="dcterms:W3CDTF">2026-07-13T11:40:00Z</dcterms:modified>
  <cp:category/>
</cp:coreProperties>
</file>